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2CBD9" w14:textId="6D640352" w:rsidR="006750D6" w:rsidRDefault="00D84269" w:rsidP="006750D6">
      <w:pPr>
        <w:widowControl w:val="0"/>
        <w:tabs>
          <w:tab w:val="right" w:pos="9639"/>
          <w:tab w:val="right" w:pos="13323"/>
        </w:tabs>
        <w:spacing w:after="0"/>
        <w:jc w:val="both"/>
        <w:rPr>
          <w:rFonts w:ascii="Arial" w:hAnsi="Arial" w:cs="Arial"/>
          <w:b/>
          <w:bCs/>
          <w:color w:val="808080"/>
          <w:sz w:val="26"/>
          <w:szCs w:val="26"/>
        </w:rPr>
      </w:pPr>
      <w:bookmarkStart w:id="0" w:name="_Hlk506802394"/>
      <w:r>
        <w:rPr>
          <w:rFonts w:ascii="Arial" w:hAnsi="Arial" w:cs="Arial"/>
          <w:b/>
          <w:noProof/>
          <w:sz w:val="24"/>
          <w:szCs w:val="24"/>
        </w:rPr>
        <w:t>3</w:t>
      </w:r>
      <w:r w:rsidR="006750D6" w:rsidRPr="00C45A63">
        <w:rPr>
          <w:rFonts w:ascii="Arial" w:hAnsi="Arial" w:cs="Arial"/>
          <w:b/>
          <w:noProof/>
          <w:sz w:val="24"/>
          <w:szCs w:val="24"/>
        </w:rPr>
        <w:t>GPPRAN4#</w:t>
      </w:r>
      <w:r w:rsidR="006750D6">
        <w:rPr>
          <w:rFonts w:ascii="Arial" w:hAnsi="Arial" w:cs="Arial"/>
          <w:b/>
          <w:noProof/>
          <w:sz w:val="24"/>
          <w:szCs w:val="24"/>
        </w:rPr>
        <w:t>9</w:t>
      </w:r>
      <w:r w:rsidR="00AC0688">
        <w:rPr>
          <w:rFonts w:ascii="Arial" w:hAnsi="Arial" w:cs="Arial"/>
          <w:b/>
          <w:noProof/>
          <w:sz w:val="24"/>
          <w:szCs w:val="24"/>
        </w:rPr>
        <w:t>4</w:t>
      </w:r>
      <w:r w:rsidR="00BF1E16">
        <w:rPr>
          <w:rFonts w:ascii="Arial" w:hAnsi="Arial" w:cs="Arial"/>
          <w:b/>
          <w:noProof/>
          <w:sz w:val="24"/>
          <w:szCs w:val="24"/>
        </w:rPr>
        <w:t>-e</w:t>
      </w:r>
      <w:r w:rsidR="006750D6" w:rsidRPr="004B7E17">
        <w:rPr>
          <w:rFonts w:ascii="Arial" w:hAnsi="Arial" w:cs="Arial"/>
          <w:b/>
          <w:noProof/>
          <w:sz w:val="24"/>
          <w:szCs w:val="24"/>
        </w:rPr>
        <w:tab/>
      </w:r>
      <w:r w:rsidR="00592E6E" w:rsidRPr="00592E6E">
        <w:rPr>
          <w:rFonts w:ascii="Arial" w:hAnsi="Arial" w:cs="Arial"/>
          <w:b/>
          <w:bCs/>
          <w:color w:val="808080"/>
          <w:sz w:val="26"/>
          <w:szCs w:val="26"/>
        </w:rPr>
        <w:t>R4-2002064</w:t>
      </w:r>
      <w:bookmarkStart w:id="1" w:name="_GoBack"/>
      <w:bookmarkEnd w:id="1"/>
    </w:p>
    <w:p w14:paraId="77BFC4F3" w14:textId="77777777" w:rsidR="00F8264D" w:rsidRDefault="00F8264D" w:rsidP="00F8264D">
      <w:pPr>
        <w:pStyle w:val="Footer"/>
        <w:jc w:val="both"/>
        <w:rPr>
          <w:rFonts w:eastAsia="SimSun"/>
          <w:i w:val="0"/>
          <w:noProof w:val="0"/>
          <w:sz w:val="24"/>
          <w:szCs w:val="24"/>
        </w:rPr>
      </w:pPr>
      <w:r>
        <w:rPr>
          <w:rFonts w:eastAsia="SimSun"/>
          <w:i w:val="0"/>
          <w:noProof w:val="0"/>
          <w:sz w:val="24"/>
          <w:szCs w:val="24"/>
        </w:rPr>
        <w:t>Online Meeting, Feb</w:t>
      </w:r>
      <w:r w:rsidRPr="0000187B">
        <w:rPr>
          <w:rFonts w:eastAsia="SimSun"/>
          <w:i w:val="0"/>
          <w:noProof w:val="0"/>
          <w:sz w:val="24"/>
          <w:szCs w:val="24"/>
        </w:rPr>
        <w:t xml:space="preserve"> </w:t>
      </w:r>
      <w:r>
        <w:rPr>
          <w:rFonts w:eastAsia="SimSun"/>
          <w:i w:val="0"/>
          <w:noProof w:val="0"/>
          <w:sz w:val="24"/>
          <w:szCs w:val="24"/>
        </w:rPr>
        <w:t>24</w:t>
      </w:r>
      <w:r w:rsidRPr="00AC0688">
        <w:rPr>
          <w:rFonts w:eastAsia="SimSun"/>
          <w:i w:val="0"/>
          <w:noProof w:val="0"/>
          <w:sz w:val="24"/>
          <w:szCs w:val="24"/>
          <w:vertAlign w:val="superscript"/>
        </w:rPr>
        <w:t>th</w:t>
      </w:r>
      <w:r w:rsidRPr="0000187B">
        <w:rPr>
          <w:rFonts w:eastAsia="SimSun"/>
          <w:i w:val="0"/>
          <w:noProof w:val="0"/>
          <w:sz w:val="24"/>
          <w:szCs w:val="24"/>
        </w:rPr>
        <w:t xml:space="preserve"> – </w:t>
      </w:r>
      <w:r>
        <w:rPr>
          <w:rFonts w:eastAsia="SimSun"/>
          <w:i w:val="0"/>
          <w:noProof w:val="0"/>
          <w:sz w:val="24"/>
          <w:szCs w:val="24"/>
        </w:rPr>
        <w:t>Mar 6</w:t>
      </w:r>
      <w:r w:rsidRPr="00AC0688">
        <w:rPr>
          <w:rFonts w:eastAsia="SimSun"/>
          <w:i w:val="0"/>
          <w:noProof w:val="0"/>
          <w:sz w:val="24"/>
          <w:szCs w:val="24"/>
          <w:vertAlign w:val="superscript"/>
        </w:rPr>
        <w:t>th</w:t>
      </w:r>
      <w:r>
        <w:rPr>
          <w:rFonts w:eastAsia="SimSun"/>
          <w:i w:val="0"/>
          <w:noProof w:val="0"/>
          <w:sz w:val="24"/>
          <w:szCs w:val="24"/>
        </w:rPr>
        <w:t xml:space="preserve"> </w:t>
      </w:r>
      <w:r w:rsidRPr="0000187B">
        <w:rPr>
          <w:rFonts w:eastAsia="SimSun"/>
          <w:i w:val="0"/>
          <w:noProof w:val="0"/>
          <w:sz w:val="24"/>
          <w:szCs w:val="24"/>
        </w:rPr>
        <w:t xml:space="preserve"> , 20</w:t>
      </w:r>
      <w:r>
        <w:rPr>
          <w:rFonts w:eastAsia="SimSun"/>
          <w:i w:val="0"/>
          <w:noProof w:val="0"/>
          <w:sz w:val="24"/>
          <w:szCs w:val="24"/>
        </w:rPr>
        <w:t>20</w:t>
      </w:r>
    </w:p>
    <w:p w14:paraId="14FCB88D" w14:textId="77777777" w:rsidR="006750D6" w:rsidRDefault="006750D6" w:rsidP="006750D6">
      <w:pPr>
        <w:pStyle w:val="Footer"/>
        <w:jc w:val="both"/>
        <w:rPr>
          <w:noProof w:val="0"/>
        </w:rPr>
      </w:pPr>
    </w:p>
    <w:p w14:paraId="3E40B697" w14:textId="25D29F49" w:rsidR="006750D6" w:rsidRPr="00A510C0" w:rsidRDefault="006750D6" w:rsidP="006750D6">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BF1E16">
        <w:rPr>
          <w:rFonts w:ascii="Arial" w:hAnsi="Arial"/>
          <w:b/>
          <w:bCs/>
          <w:sz w:val="24"/>
        </w:rPr>
        <w:t>RRM requirements with common and independent beams in FR2</w:t>
      </w:r>
      <w:r>
        <w:rPr>
          <w:rFonts w:ascii="Arial" w:hAnsi="Arial"/>
          <w:b/>
          <w:sz w:val="24"/>
        </w:rPr>
        <w:t xml:space="preserve"> </w:t>
      </w:r>
      <w:r w:rsidRPr="001E48B2">
        <w:rPr>
          <w:rFonts w:ascii="Arial" w:eastAsia="SimSun" w:hAnsi="Arial"/>
          <w:b/>
          <w:sz w:val="24"/>
          <w:lang w:eastAsia="zh-CN"/>
        </w:rPr>
        <w:t xml:space="preserve"> </w:t>
      </w:r>
    </w:p>
    <w:p w14:paraId="53A98FA1" w14:textId="77777777" w:rsidR="006750D6" w:rsidRPr="00D372E9" w:rsidRDefault="006750D6" w:rsidP="006750D6">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2AF7E5FC" w14:textId="06AB5E17" w:rsidR="006750D6" w:rsidRPr="002E1604" w:rsidRDefault="006750D6" w:rsidP="006750D6">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F8264D" w:rsidRPr="00F8264D">
        <w:rPr>
          <w:rFonts w:ascii="Arial" w:hAnsi="Arial"/>
          <w:b/>
          <w:sz w:val="24"/>
        </w:rPr>
        <w:t>8.15.1.10</w:t>
      </w:r>
      <w:r w:rsidR="00F8264D" w:rsidRPr="00F8264D">
        <w:rPr>
          <w:rFonts w:ascii="Arial" w:hAnsi="Arial"/>
          <w:b/>
          <w:sz w:val="24"/>
        </w:rPr>
        <w:tab/>
        <w:t>Inter-band CA requirement for FR2 UE measurement capability of independent Rx beam and/or common beam</w:t>
      </w:r>
      <w:r w:rsidR="00F8264D" w:rsidRPr="00F8264D">
        <w:rPr>
          <w:rFonts w:ascii="Arial" w:hAnsi="Arial"/>
          <w:b/>
          <w:sz w:val="24"/>
        </w:rPr>
        <w:tab/>
        <w:t>[NR_RRM_Enh_Core]</w:t>
      </w:r>
    </w:p>
    <w:p w14:paraId="033ECDDE" w14:textId="77777777" w:rsidR="006750D6" w:rsidRPr="00E15948" w:rsidRDefault="006750D6" w:rsidP="006750D6">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1B6C5E8B" w14:textId="77777777" w:rsidR="006750D6" w:rsidRDefault="00123A8C" w:rsidP="006750D6">
      <w:r>
        <w:pict w14:anchorId="71BC3458">
          <v:rect id="_x0000_i1025" style="width:0;height:1.5pt" o:hralign="center" o:hrstd="t" o:hr="t" fillcolor="#a0a0a0" stroked="f"/>
        </w:pict>
      </w:r>
    </w:p>
    <w:p w14:paraId="60B4BB2E" w14:textId="18499742" w:rsidR="006750D6" w:rsidRDefault="006750D6" w:rsidP="006750D6">
      <w:pPr>
        <w:pStyle w:val="Heading1"/>
      </w:pPr>
      <w:r w:rsidRPr="00E15948">
        <w:t>Introduction</w:t>
      </w:r>
    </w:p>
    <w:p w14:paraId="42FDA902" w14:textId="122BCBE8" w:rsidR="003243CD" w:rsidRDefault="003243CD" w:rsidP="003243CD">
      <w:r>
        <w:t xml:space="preserve">The NR RRM enhancement WID [1] </w:t>
      </w:r>
      <w:r w:rsidR="00BF1E16">
        <w:t>was extended by adding a work item on i</w:t>
      </w:r>
      <w:r w:rsidR="00BF1E16" w:rsidRPr="00BF1E16">
        <w:t>nter-band CA requirement for FR2 UE measurement capability of independent Rx beam and/or common beam</w:t>
      </w:r>
      <w:r w:rsidR="00BF1E16">
        <w:t xml:space="preserve">. As part of the WID, RAN4 is tasked with to define requirements for the following </w:t>
      </w:r>
    </w:p>
    <w:p w14:paraId="476F2AD3" w14:textId="03A1C0B9" w:rsidR="00BF1E16" w:rsidRDefault="00BF1E16" w:rsidP="00BF1E16">
      <w:pPr>
        <w:pStyle w:val="ListParagraph"/>
        <w:numPr>
          <w:ilvl w:val="0"/>
          <w:numId w:val="10"/>
        </w:numPr>
      </w:pPr>
      <w:r>
        <w:t xml:space="preserve">Cell detection/measurement requirement, </w:t>
      </w:r>
    </w:p>
    <w:p w14:paraId="0ECABB3E" w14:textId="6F6B2018" w:rsidR="00BF1E16" w:rsidRDefault="00BF1E16" w:rsidP="00BF1E16">
      <w:pPr>
        <w:pStyle w:val="ListParagraph"/>
        <w:numPr>
          <w:ilvl w:val="0"/>
          <w:numId w:val="10"/>
        </w:numPr>
      </w:pPr>
      <w:r>
        <w:t xml:space="preserve">Beam management requirements, </w:t>
      </w:r>
    </w:p>
    <w:p w14:paraId="127E0428" w14:textId="7BBB1CF8" w:rsidR="00BF1E16" w:rsidRDefault="00BF1E16" w:rsidP="00BF1E16">
      <w:pPr>
        <w:pStyle w:val="ListParagraph"/>
        <w:numPr>
          <w:ilvl w:val="0"/>
          <w:numId w:val="10"/>
        </w:numPr>
      </w:pPr>
      <w:r>
        <w:t xml:space="preserve">Scell activation requirement, </w:t>
      </w:r>
    </w:p>
    <w:p w14:paraId="077222B7" w14:textId="545357CB" w:rsidR="00BF1E16" w:rsidRDefault="00BF1E16" w:rsidP="00BF1E16">
      <w:pPr>
        <w:pStyle w:val="ListParagraph"/>
        <w:numPr>
          <w:ilvl w:val="0"/>
          <w:numId w:val="10"/>
        </w:numPr>
      </w:pPr>
      <w:r>
        <w:t xml:space="preserve">Interruption requirement, </w:t>
      </w:r>
    </w:p>
    <w:p w14:paraId="074FC76C" w14:textId="1C5BF0C6" w:rsidR="00BF1E16" w:rsidRDefault="00BF1E16" w:rsidP="00BF1E16">
      <w:pPr>
        <w:pStyle w:val="ListParagraph"/>
        <w:numPr>
          <w:ilvl w:val="0"/>
          <w:numId w:val="10"/>
        </w:numPr>
      </w:pPr>
      <w:r>
        <w:t>Scheduling restriction requirement</w:t>
      </w:r>
    </w:p>
    <w:p w14:paraId="426ED543" w14:textId="353A2EE4" w:rsidR="006750D6" w:rsidRDefault="006750D6" w:rsidP="006750D6">
      <w:pPr>
        <w:pStyle w:val="Heading1"/>
      </w:pPr>
      <w:r>
        <w:t xml:space="preserve">Discussion   </w:t>
      </w:r>
    </w:p>
    <w:p w14:paraId="1425AFBB" w14:textId="6BFCCCF3" w:rsidR="00BF1E16" w:rsidRDefault="00BF1E16" w:rsidP="00BF1E16">
      <w:pPr>
        <w:pStyle w:val="Heading2"/>
      </w:pPr>
      <w:r>
        <w:t xml:space="preserve">Common beam </w:t>
      </w:r>
    </w:p>
    <w:p w14:paraId="1A633BC8" w14:textId="77777777" w:rsidR="000759A1" w:rsidRDefault="00BF1E16" w:rsidP="00BF1E16">
      <w:r>
        <w:t>For a UE to use a common beam across two bands, there are a few conditions that the cells in the two bands will need to satisfy.</w:t>
      </w:r>
    </w:p>
    <w:p w14:paraId="5889D42C" w14:textId="77777777" w:rsidR="000759A1" w:rsidRDefault="00BF1E16" w:rsidP="000759A1">
      <w:pPr>
        <w:pStyle w:val="ListParagraph"/>
        <w:numPr>
          <w:ilvl w:val="0"/>
          <w:numId w:val="11"/>
        </w:numPr>
      </w:pPr>
      <w:r>
        <w:t>the gNB’s for the two cells need to be co-located</w:t>
      </w:r>
    </w:p>
    <w:p w14:paraId="600682EC" w14:textId="40B2EE3E" w:rsidR="000759A1" w:rsidRDefault="00BF1E16" w:rsidP="000759A1">
      <w:pPr>
        <w:pStyle w:val="ListParagraph"/>
        <w:numPr>
          <w:ilvl w:val="0"/>
          <w:numId w:val="11"/>
        </w:numPr>
      </w:pPr>
      <w:r>
        <w:t>the two gNB’s will need to use the same spatial transmission filter</w:t>
      </w:r>
      <w:r w:rsidR="000759A1">
        <w:t xml:space="preserve">. If </w:t>
      </w:r>
      <w:r>
        <w:t xml:space="preserve">the two cells are not using the same spatial transmission filter to receive and transmit, the UE will not be able to use the same beam to transmit and receive from the two cells simultaneously. </w:t>
      </w:r>
    </w:p>
    <w:p w14:paraId="002A6A55" w14:textId="08E795D1" w:rsidR="00BF1E16" w:rsidRDefault="00BF1E16" w:rsidP="000759A1">
      <w:pPr>
        <w:pStyle w:val="ListParagraph"/>
        <w:numPr>
          <w:ilvl w:val="0"/>
          <w:numId w:val="11"/>
        </w:numPr>
      </w:pPr>
      <w:r>
        <w:t>the time synchronization between the two cells</w:t>
      </w:r>
      <w:r w:rsidR="000759A1">
        <w:t xml:space="preserve"> needs to be within 260 ns. This is the same value as that for MRTD for intra-band contiguous scenario. If this MRTD is not met, it would result in significant performance degradation as there would be loss of a symbol on one of the CC’s every time the UE switches its beams. </w:t>
      </w:r>
    </w:p>
    <w:p w14:paraId="376B3709" w14:textId="4948B0B8" w:rsidR="000759A1" w:rsidRDefault="000759A1" w:rsidP="000759A1">
      <w:pPr>
        <w:pStyle w:val="ListParagraph"/>
        <w:numPr>
          <w:ilvl w:val="0"/>
          <w:numId w:val="11"/>
        </w:numPr>
      </w:pPr>
      <w:r>
        <w:t xml:space="preserve">Same power imbalance as that in intra-band contiguous case. </w:t>
      </w:r>
    </w:p>
    <w:p w14:paraId="04B06B99" w14:textId="0B8999E3" w:rsidR="000759A1" w:rsidRDefault="000759A1" w:rsidP="000759A1">
      <w:r w:rsidRPr="000759A1">
        <w:rPr>
          <w:b/>
          <w:bCs/>
        </w:rPr>
        <w:lastRenderedPageBreak/>
        <w:t>Proposal 1</w:t>
      </w:r>
      <w:r>
        <w:t xml:space="preserve">: RAN4 to define requirements for bands in which the UE can use a common beam. These requirements need to be defined for co-location, spatial filter, MRTD/MTTD and power imbalance. RAN4 to use intra-band requirements as baseline. </w:t>
      </w:r>
    </w:p>
    <w:p w14:paraId="4BAFAC90" w14:textId="56F55941" w:rsidR="000759A1" w:rsidRDefault="000759A1" w:rsidP="000759A1">
      <w:r>
        <w:t xml:space="preserve">Once the above-mentioned requirements are defined, RAN4 can then proceed to define RRM requirements for common beam scenario. </w:t>
      </w:r>
    </w:p>
    <w:p w14:paraId="38E14B85" w14:textId="00247577" w:rsidR="000759A1" w:rsidRDefault="000759A1" w:rsidP="000759A1">
      <w:pPr>
        <w:pStyle w:val="Heading2"/>
      </w:pPr>
      <w:r>
        <w:t xml:space="preserve"> Independent Beams </w:t>
      </w:r>
    </w:p>
    <w:p w14:paraId="11BB12DA" w14:textId="62E96F4E" w:rsidR="000759A1" w:rsidRDefault="000759A1" w:rsidP="000759A1">
      <w:r>
        <w:t xml:space="preserve">For a UE that is using independent beams across two bands, most of the Rel-15 requirements would be directly applicable. In this sub-section, we go over the requisite requirements one at a time. </w:t>
      </w:r>
    </w:p>
    <w:p w14:paraId="305FF65A" w14:textId="5C0F2C40" w:rsidR="000759A1" w:rsidRDefault="000759A1" w:rsidP="000759A1">
      <w:pPr>
        <w:pStyle w:val="Heading3"/>
      </w:pPr>
      <w:r>
        <w:t xml:space="preserve">Cell Detection/Measurement </w:t>
      </w:r>
    </w:p>
    <w:p w14:paraId="0532AFCB" w14:textId="77777777" w:rsidR="00DC3C0F" w:rsidRDefault="00DC3C0F" w:rsidP="000759A1">
      <w:r>
        <w:t>For cell detection and measurement, the baseband needs a certain number of SSB samples. This number of samples does not depend on whether the UE is using independent beams for inter-band CA. Thus, the requirements for this case should not chance from Rel-15</w:t>
      </w:r>
    </w:p>
    <w:p w14:paraId="4D217CAC" w14:textId="4FD156B1" w:rsidR="000759A1" w:rsidRDefault="00DC3C0F" w:rsidP="000759A1">
      <w:r w:rsidRPr="006602CA">
        <w:rPr>
          <w:b/>
          <w:bCs/>
        </w:rPr>
        <w:t>Proposal 2</w:t>
      </w:r>
      <w:r>
        <w:t xml:space="preserve">: Cell detection and measurement </w:t>
      </w:r>
      <w:r w:rsidR="006602CA">
        <w:t>requirements</w:t>
      </w:r>
      <w:r>
        <w:t xml:space="preserve"> for independent beams remain the same </w:t>
      </w:r>
      <w:r w:rsidR="006602CA">
        <w:t xml:space="preserve">as in Rel-15. </w:t>
      </w:r>
      <w:r>
        <w:t xml:space="preserve"> </w:t>
      </w:r>
    </w:p>
    <w:p w14:paraId="2CF79EBE" w14:textId="0FB88901" w:rsidR="006602CA" w:rsidRDefault="006602CA" w:rsidP="006602CA">
      <w:pPr>
        <w:pStyle w:val="Heading3"/>
      </w:pPr>
      <w:r>
        <w:t xml:space="preserve">Beam Management </w:t>
      </w:r>
    </w:p>
    <w:p w14:paraId="356C928D" w14:textId="1C9C7647" w:rsidR="006602CA" w:rsidRDefault="006602CA" w:rsidP="006602CA">
      <w:r>
        <w:t xml:space="preserve">UE will need to be configured with beam management RS on at least one cell on each band for which it is using an independent beam. For beam management requirements on multiple cells, we can re-use the requirements from </w:t>
      </w:r>
      <w:r w:rsidR="00E518EA">
        <w:t>e</w:t>
      </w:r>
      <w:r>
        <w:t>MIMO WID</w:t>
      </w:r>
      <w:r w:rsidR="00E518EA">
        <w:t xml:space="preserve"> [2]</w:t>
      </w:r>
      <w:r>
        <w:t xml:space="preserve"> where SCell beam management is being considered. </w:t>
      </w:r>
    </w:p>
    <w:p w14:paraId="6935DA95" w14:textId="56436AE2" w:rsidR="006602CA" w:rsidRDefault="006602CA" w:rsidP="006602CA">
      <w:r w:rsidRPr="006602CA">
        <w:rPr>
          <w:b/>
          <w:bCs/>
        </w:rPr>
        <w:t>Proposal 3</w:t>
      </w:r>
      <w:r>
        <w:t xml:space="preserve">: UE should be configured with beam management resources on one cell in each band for which it is using independent beams. </w:t>
      </w:r>
    </w:p>
    <w:p w14:paraId="37E38516" w14:textId="6152B86C" w:rsidR="006602CA" w:rsidRPr="006602CA" w:rsidRDefault="006602CA" w:rsidP="006602CA">
      <w:r w:rsidRPr="006602CA">
        <w:rPr>
          <w:b/>
          <w:bCs/>
        </w:rPr>
        <w:t>Proposal 4</w:t>
      </w:r>
      <w:r>
        <w:t xml:space="preserve">: RAN4 to use SCell beam management requirements as being defined in </w:t>
      </w:r>
      <w:r w:rsidR="008D2005">
        <w:t>e</w:t>
      </w:r>
      <w:r>
        <w:t xml:space="preserve">MIMO WID as baseline. </w:t>
      </w:r>
    </w:p>
    <w:p w14:paraId="6D623392" w14:textId="2B3BACC1" w:rsidR="006602CA" w:rsidRDefault="006602CA" w:rsidP="006602CA">
      <w:pPr>
        <w:pStyle w:val="Heading3"/>
      </w:pPr>
      <w:r>
        <w:t xml:space="preserve">SCell activation </w:t>
      </w:r>
    </w:p>
    <w:p w14:paraId="2B5F3691" w14:textId="4253AA13" w:rsidR="006602CA" w:rsidRDefault="00115BDE" w:rsidP="006602CA">
      <w:r>
        <w:t>For Scell activation of known cell</w:t>
      </w:r>
      <w:r w:rsidR="00A1088F">
        <w:t xml:space="preserve">, the requirements should be the same as from Rel-15. For multiple unknown cells, the UE will need to provide L1-RSRP on two different bands before the network can select the applicable TCI states. The timeline for L1-RSRP measurement on multiple bands needs further discussion. </w:t>
      </w:r>
    </w:p>
    <w:p w14:paraId="306C7A8F" w14:textId="59F76805" w:rsidR="00A1088F" w:rsidRDefault="00E518EA" w:rsidP="006602CA">
      <w:r w:rsidRPr="00E518EA">
        <w:rPr>
          <w:b/>
          <w:bCs/>
        </w:rPr>
        <w:t>Proposal 5</w:t>
      </w:r>
      <w:r>
        <w:t>: For known Scell activation with independent beams, the same requirements as Rel-15 apply.</w:t>
      </w:r>
    </w:p>
    <w:p w14:paraId="2F1BC3E9" w14:textId="46A97CC9" w:rsidR="00A1088F" w:rsidRDefault="00E518EA" w:rsidP="00E518EA">
      <w:pPr>
        <w:pStyle w:val="Heading3"/>
      </w:pPr>
      <w:r>
        <w:t>Interruptions</w:t>
      </w:r>
    </w:p>
    <w:p w14:paraId="6F25012F" w14:textId="799ACDF2" w:rsidR="00E518EA" w:rsidRPr="00E518EA" w:rsidRDefault="00E518EA" w:rsidP="00E518EA">
      <w:r>
        <w:t xml:space="preserve">The interruption requirements in RAN4 mostly come from RF components  (PLL etc), being switching on/off or being re-tuned. Since this is independent of the beams being used, the interruption requirements with independent beams should not change. </w:t>
      </w:r>
    </w:p>
    <w:p w14:paraId="170F9A45" w14:textId="12FA2ACC" w:rsidR="006602CA" w:rsidRPr="000759A1" w:rsidRDefault="00E518EA" w:rsidP="000759A1">
      <w:r w:rsidRPr="00E518EA">
        <w:rPr>
          <w:b/>
          <w:bCs/>
        </w:rPr>
        <w:t>Proposal 6</w:t>
      </w:r>
      <w:r>
        <w:t xml:space="preserve">: Interruptions requirements with independent beams to be the same as that from Rel-15. </w:t>
      </w:r>
    </w:p>
    <w:p w14:paraId="763F5EDA" w14:textId="23334E04" w:rsidR="00E518EA" w:rsidRDefault="00E518EA" w:rsidP="00E518EA">
      <w:pPr>
        <w:pStyle w:val="Heading3"/>
      </w:pPr>
      <w:r>
        <w:t>Scheduling restrictions</w:t>
      </w:r>
    </w:p>
    <w:p w14:paraId="66246DB4" w14:textId="1B9434F7" w:rsidR="008D2005" w:rsidRDefault="008D2005" w:rsidP="00E518EA">
      <w:r>
        <w:t xml:space="preserve">The scheduling restrictions in FR2 arise from the UE having to switch its beam for a procedure, </w:t>
      </w:r>
      <w:r w:rsidR="00AE0716">
        <w:t>e.g.</w:t>
      </w:r>
      <w:r>
        <w:t xml:space="preserve">: RLM, L1-RSRP etc.,  which may overlap with some symbols that it is trying to receive or transmit. In these </w:t>
      </w:r>
      <w:r>
        <w:lastRenderedPageBreak/>
        <w:t xml:space="preserve">scenarios there are scheduling restrictions on the network for symbols that are fully or partially overlapped when the UE must switch. In case of independent beams, these restrictions should not apply. For example, if UE is doing RLM on a cell on band1 there will be scheduling restrictions on all cells that are being received using the same beam as that cell, however for any cells on a different band that are being received using a different independent beam will not have any scheduling restrictions. </w:t>
      </w:r>
    </w:p>
    <w:p w14:paraId="0244B9F0" w14:textId="1EE4FB7A" w:rsidR="00E518EA" w:rsidRPr="00E518EA" w:rsidRDefault="008D2005" w:rsidP="00E518EA">
      <w:r w:rsidRPr="008D2005">
        <w:rPr>
          <w:b/>
          <w:bCs/>
        </w:rPr>
        <w:t>Proposal 7</w:t>
      </w:r>
      <w:r>
        <w:t xml:space="preserve">:  No scheduling restrictions on a band that is using an independent beam from the band on which the procedure (RLM, Beam Management, L1-RSRP) measurements is being performed.  </w:t>
      </w:r>
    </w:p>
    <w:p w14:paraId="4BDBD680" w14:textId="6ED4B16F" w:rsidR="00432B37" w:rsidRDefault="00432B37" w:rsidP="00330D12">
      <w:pPr>
        <w:pStyle w:val="Heading1"/>
      </w:pPr>
      <w:r>
        <w:t xml:space="preserve">Conclusions </w:t>
      </w:r>
    </w:p>
    <w:p w14:paraId="0C9EE84C" w14:textId="5996F188" w:rsidR="008D2005" w:rsidRDefault="008D2005" w:rsidP="008D2005">
      <w:r w:rsidRPr="000759A1">
        <w:rPr>
          <w:b/>
          <w:bCs/>
        </w:rPr>
        <w:t>Proposal 1</w:t>
      </w:r>
      <w:r>
        <w:t xml:space="preserve">: RAN4 to define requirements for bands in which the UE can use a common beam. These requirements need to be defined for co-location, spatial filter, MRTD/MTTD and power imbalance. RAN4 to use intra-band requirements as baseline. </w:t>
      </w:r>
    </w:p>
    <w:p w14:paraId="7DC4EEC0" w14:textId="77777777" w:rsidR="008D2005" w:rsidRDefault="008D2005" w:rsidP="008D2005">
      <w:r w:rsidRPr="006602CA">
        <w:rPr>
          <w:b/>
          <w:bCs/>
        </w:rPr>
        <w:t>Proposal 2</w:t>
      </w:r>
      <w:r>
        <w:t xml:space="preserve">: Cell detection and measurement requirements for independent beams remain the same as in Rel-15.  </w:t>
      </w:r>
    </w:p>
    <w:p w14:paraId="1A1E279C" w14:textId="77777777" w:rsidR="008D2005" w:rsidRDefault="008D2005" w:rsidP="008D2005">
      <w:r w:rsidRPr="006602CA">
        <w:rPr>
          <w:b/>
          <w:bCs/>
        </w:rPr>
        <w:t>Proposal 3</w:t>
      </w:r>
      <w:r>
        <w:t xml:space="preserve">: UE should be configured with beam management resources on one cell in each band for which it is using independent beams. </w:t>
      </w:r>
    </w:p>
    <w:p w14:paraId="11E2460B" w14:textId="77777777" w:rsidR="008D2005" w:rsidRPr="006602CA" w:rsidRDefault="008D2005" w:rsidP="008D2005">
      <w:r w:rsidRPr="006602CA">
        <w:rPr>
          <w:b/>
          <w:bCs/>
        </w:rPr>
        <w:t>Proposal 4</w:t>
      </w:r>
      <w:r>
        <w:t xml:space="preserve">: RAN4 to use SCell beam management requirements as being defined in eMIMO WID as baseline. </w:t>
      </w:r>
    </w:p>
    <w:p w14:paraId="65BF3DA6" w14:textId="77777777" w:rsidR="008D2005" w:rsidRDefault="008D2005" w:rsidP="008D2005">
      <w:r w:rsidRPr="00E518EA">
        <w:rPr>
          <w:b/>
          <w:bCs/>
        </w:rPr>
        <w:t>Proposal 5</w:t>
      </w:r>
      <w:r>
        <w:t>: For known Scell activation with independent beams, the same requirements as Rel-15 apply.</w:t>
      </w:r>
    </w:p>
    <w:p w14:paraId="2AFF8CAC" w14:textId="77777777" w:rsidR="008D2005" w:rsidRPr="000759A1" w:rsidRDefault="008D2005" w:rsidP="008D2005">
      <w:r w:rsidRPr="00E518EA">
        <w:rPr>
          <w:b/>
          <w:bCs/>
        </w:rPr>
        <w:t>Proposal 6</w:t>
      </w:r>
      <w:r>
        <w:t xml:space="preserve">: Interruptions requirements with independent beams to be the same as that from Rel-15. </w:t>
      </w:r>
    </w:p>
    <w:p w14:paraId="0EBCD85C" w14:textId="33E4A457" w:rsidR="008D2005" w:rsidRDefault="008D2005" w:rsidP="008D2005">
      <w:r w:rsidRPr="008D2005">
        <w:rPr>
          <w:b/>
          <w:bCs/>
        </w:rPr>
        <w:t>Proposal 7</w:t>
      </w:r>
      <w:r>
        <w:t xml:space="preserve">:  No scheduling restrictions on a band that is using an independent beam from the band on which the procedure (RLM, Beam Management, L1-RSRP) measurements is being performed.  </w:t>
      </w:r>
    </w:p>
    <w:p w14:paraId="5A21FB30" w14:textId="4E28536D" w:rsidR="00AD7CCD" w:rsidRDefault="00670B43" w:rsidP="00670B43">
      <w:pPr>
        <w:pStyle w:val="Heading1"/>
      </w:pPr>
      <w:r>
        <w:t>References</w:t>
      </w:r>
    </w:p>
    <w:p w14:paraId="7C155C6D" w14:textId="658170EC" w:rsidR="00670B43" w:rsidRDefault="00670B43" w:rsidP="00670B43">
      <w:r w:rsidRPr="00753C29">
        <w:t xml:space="preserve">[1] </w:t>
      </w:r>
      <w:r w:rsidR="00753C29" w:rsidRPr="00753C29">
        <w:t>R</w:t>
      </w:r>
      <w:r w:rsidR="0096639B">
        <w:t>P</w:t>
      </w:r>
      <w:r w:rsidR="00753C29" w:rsidRPr="00753C29">
        <w:t>-19</w:t>
      </w:r>
      <w:r w:rsidR="0096639B">
        <w:t>3211</w:t>
      </w:r>
      <w:r w:rsidR="00753C29">
        <w:t>,</w:t>
      </w:r>
      <w:r w:rsidR="00753C29" w:rsidRPr="00753C29">
        <w:t xml:space="preserve"> </w:t>
      </w:r>
      <w:r w:rsidR="0096639B" w:rsidRPr="0096639B">
        <w:t>NR RRM Enhancement</w:t>
      </w:r>
      <w:r w:rsidR="0096639B">
        <w:t xml:space="preserve"> WID</w:t>
      </w:r>
      <w:r w:rsidR="00753C29">
        <w:t>.</w:t>
      </w:r>
    </w:p>
    <w:p w14:paraId="31D60D57" w14:textId="4194DC7F" w:rsidR="008D2005" w:rsidRPr="00753C29" w:rsidRDefault="008D2005" w:rsidP="00670B43">
      <w:r>
        <w:t xml:space="preserve">[2] </w:t>
      </w:r>
      <w:r w:rsidRPr="008D2005">
        <w:t>RP-192271</w:t>
      </w:r>
      <w:r>
        <w:t>,</w:t>
      </w:r>
      <w:r w:rsidRPr="008D2005">
        <w:t xml:space="preserve"> Enhancements on MIMO for NR</w:t>
      </w:r>
    </w:p>
    <w:sectPr w:rsidR="008D2005" w:rsidRPr="00753C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0E3AE" w14:textId="77777777" w:rsidR="00123A8C" w:rsidRDefault="00123A8C" w:rsidP="007D7454">
      <w:pPr>
        <w:spacing w:after="0" w:line="240" w:lineRule="auto"/>
      </w:pPr>
      <w:r>
        <w:separator/>
      </w:r>
    </w:p>
  </w:endnote>
  <w:endnote w:type="continuationSeparator" w:id="0">
    <w:p w14:paraId="5A458939" w14:textId="77777777" w:rsidR="00123A8C" w:rsidRDefault="00123A8C" w:rsidP="007D7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FF462" w14:textId="77777777" w:rsidR="00123A8C" w:rsidRDefault="00123A8C" w:rsidP="007D7454">
      <w:pPr>
        <w:spacing w:after="0" w:line="240" w:lineRule="auto"/>
      </w:pPr>
      <w:r>
        <w:separator/>
      </w:r>
    </w:p>
  </w:footnote>
  <w:footnote w:type="continuationSeparator" w:id="0">
    <w:p w14:paraId="7297475B" w14:textId="77777777" w:rsidR="00123A8C" w:rsidRDefault="00123A8C" w:rsidP="007D7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946"/>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07819"/>
    <w:multiLevelType w:val="hybridMultilevel"/>
    <w:tmpl w:val="2EE68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B0664"/>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64613D4"/>
    <w:multiLevelType w:val="hybridMultilevel"/>
    <w:tmpl w:val="A468B8A6"/>
    <w:lvl w:ilvl="0" w:tplc="3F3676A0">
      <w:start w:val="1"/>
      <w:numFmt w:val="bullet"/>
      <w:lvlText w:val="•"/>
      <w:lvlJc w:val="left"/>
      <w:pPr>
        <w:tabs>
          <w:tab w:val="num" w:pos="720"/>
        </w:tabs>
        <w:ind w:left="720" w:hanging="360"/>
      </w:pPr>
      <w:rPr>
        <w:rFonts w:ascii="Arial" w:hAnsi="Arial" w:hint="default"/>
      </w:rPr>
    </w:lvl>
    <w:lvl w:ilvl="1" w:tplc="605C3A5C">
      <w:start w:val="28"/>
      <w:numFmt w:val="bullet"/>
      <w:lvlText w:val="–"/>
      <w:lvlJc w:val="left"/>
      <w:pPr>
        <w:tabs>
          <w:tab w:val="num" w:pos="1440"/>
        </w:tabs>
        <w:ind w:left="1440" w:hanging="360"/>
      </w:pPr>
      <w:rPr>
        <w:rFonts w:ascii="Arial" w:hAnsi="Arial" w:hint="default"/>
      </w:rPr>
    </w:lvl>
    <w:lvl w:ilvl="2" w:tplc="58EA9DCC">
      <w:start w:val="28"/>
      <w:numFmt w:val="bullet"/>
      <w:lvlText w:val="•"/>
      <w:lvlJc w:val="left"/>
      <w:pPr>
        <w:tabs>
          <w:tab w:val="num" w:pos="2160"/>
        </w:tabs>
        <w:ind w:left="2160" w:hanging="360"/>
      </w:pPr>
      <w:rPr>
        <w:rFonts w:ascii="Arial" w:hAnsi="Arial" w:hint="default"/>
      </w:rPr>
    </w:lvl>
    <w:lvl w:ilvl="3" w:tplc="11787044" w:tentative="1">
      <w:start w:val="1"/>
      <w:numFmt w:val="bullet"/>
      <w:lvlText w:val="•"/>
      <w:lvlJc w:val="left"/>
      <w:pPr>
        <w:tabs>
          <w:tab w:val="num" w:pos="2880"/>
        </w:tabs>
        <w:ind w:left="2880" w:hanging="360"/>
      </w:pPr>
      <w:rPr>
        <w:rFonts w:ascii="Arial" w:hAnsi="Arial" w:hint="default"/>
      </w:rPr>
    </w:lvl>
    <w:lvl w:ilvl="4" w:tplc="6F7EA2D2" w:tentative="1">
      <w:start w:val="1"/>
      <w:numFmt w:val="bullet"/>
      <w:lvlText w:val="•"/>
      <w:lvlJc w:val="left"/>
      <w:pPr>
        <w:tabs>
          <w:tab w:val="num" w:pos="3600"/>
        </w:tabs>
        <w:ind w:left="3600" w:hanging="360"/>
      </w:pPr>
      <w:rPr>
        <w:rFonts w:ascii="Arial" w:hAnsi="Arial" w:hint="default"/>
      </w:rPr>
    </w:lvl>
    <w:lvl w:ilvl="5" w:tplc="CA04774A" w:tentative="1">
      <w:start w:val="1"/>
      <w:numFmt w:val="bullet"/>
      <w:lvlText w:val="•"/>
      <w:lvlJc w:val="left"/>
      <w:pPr>
        <w:tabs>
          <w:tab w:val="num" w:pos="4320"/>
        </w:tabs>
        <w:ind w:left="4320" w:hanging="360"/>
      </w:pPr>
      <w:rPr>
        <w:rFonts w:ascii="Arial" w:hAnsi="Arial" w:hint="default"/>
      </w:rPr>
    </w:lvl>
    <w:lvl w:ilvl="6" w:tplc="F5F2DD34" w:tentative="1">
      <w:start w:val="1"/>
      <w:numFmt w:val="bullet"/>
      <w:lvlText w:val="•"/>
      <w:lvlJc w:val="left"/>
      <w:pPr>
        <w:tabs>
          <w:tab w:val="num" w:pos="5040"/>
        </w:tabs>
        <w:ind w:left="5040" w:hanging="360"/>
      </w:pPr>
      <w:rPr>
        <w:rFonts w:ascii="Arial" w:hAnsi="Arial" w:hint="default"/>
      </w:rPr>
    </w:lvl>
    <w:lvl w:ilvl="7" w:tplc="BE98412C" w:tentative="1">
      <w:start w:val="1"/>
      <w:numFmt w:val="bullet"/>
      <w:lvlText w:val="•"/>
      <w:lvlJc w:val="left"/>
      <w:pPr>
        <w:tabs>
          <w:tab w:val="num" w:pos="5760"/>
        </w:tabs>
        <w:ind w:left="5760" w:hanging="360"/>
      </w:pPr>
      <w:rPr>
        <w:rFonts w:ascii="Arial" w:hAnsi="Arial" w:hint="default"/>
      </w:rPr>
    </w:lvl>
    <w:lvl w:ilvl="8" w:tplc="A3FA3A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C9589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D5337B"/>
    <w:multiLevelType w:val="hybridMultilevel"/>
    <w:tmpl w:val="51F46312"/>
    <w:lvl w:ilvl="0" w:tplc="37924FE8">
      <w:start w:val="1"/>
      <w:numFmt w:val="bullet"/>
      <w:lvlText w:val="–"/>
      <w:lvlJc w:val="left"/>
      <w:pPr>
        <w:tabs>
          <w:tab w:val="num" w:pos="720"/>
        </w:tabs>
        <w:ind w:left="720" w:hanging="360"/>
      </w:pPr>
      <w:rPr>
        <w:rFonts w:ascii="Arial" w:hAnsi="Arial" w:hint="default"/>
      </w:rPr>
    </w:lvl>
    <w:lvl w:ilvl="1" w:tplc="FBB6020C">
      <w:start w:val="1"/>
      <w:numFmt w:val="bullet"/>
      <w:lvlText w:val="–"/>
      <w:lvlJc w:val="left"/>
      <w:pPr>
        <w:tabs>
          <w:tab w:val="num" w:pos="1440"/>
        </w:tabs>
        <w:ind w:left="1440" w:hanging="360"/>
      </w:pPr>
      <w:rPr>
        <w:rFonts w:ascii="Arial" w:hAnsi="Arial" w:hint="default"/>
      </w:rPr>
    </w:lvl>
    <w:lvl w:ilvl="2" w:tplc="DF66113E" w:tentative="1">
      <w:start w:val="1"/>
      <w:numFmt w:val="bullet"/>
      <w:lvlText w:val="–"/>
      <w:lvlJc w:val="left"/>
      <w:pPr>
        <w:tabs>
          <w:tab w:val="num" w:pos="2160"/>
        </w:tabs>
        <w:ind w:left="2160" w:hanging="360"/>
      </w:pPr>
      <w:rPr>
        <w:rFonts w:ascii="Arial" w:hAnsi="Arial" w:hint="default"/>
      </w:rPr>
    </w:lvl>
    <w:lvl w:ilvl="3" w:tplc="F9CC9A6E" w:tentative="1">
      <w:start w:val="1"/>
      <w:numFmt w:val="bullet"/>
      <w:lvlText w:val="–"/>
      <w:lvlJc w:val="left"/>
      <w:pPr>
        <w:tabs>
          <w:tab w:val="num" w:pos="2880"/>
        </w:tabs>
        <w:ind w:left="2880" w:hanging="360"/>
      </w:pPr>
      <w:rPr>
        <w:rFonts w:ascii="Arial" w:hAnsi="Arial" w:hint="default"/>
      </w:rPr>
    </w:lvl>
    <w:lvl w:ilvl="4" w:tplc="E2509AC0" w:tentative="1">
      <w:start w:val="1"/>
      <w:numFmt w:val="bullet"/>
      <w:lvlText w:val="–"/>
      <w:lvlJc w:val="left"/>
      <w:pPr>
        <w:tabs>
          <w:tab w:val="num" w:pos="3600"/>
        </w:tabs>
        <w:ind w:left="3600" w:hanging="360"/>
      </w:pPr>
      <w:rPr>
        <w:rFonts w:ascii="Arial" w:hAnsi="Arial" w:hint="default"/>
      </w:rPr>
    </w:lvl>
    <w:lvl w:ilvl="5" w:tplc="1EB45154" w:tentative="1">
      <w:start w:val="1"/>
      <w:numFmt w:val="bullet"/>
      <w:lvlText w:val="–"/>
      <w:lvlJc w:val="left"/>
      <w:pPr>
        <w:tabs>
          <w:tab w:val="num" w:pos="4320"/>
        </w:tabs>
        <w:ind w:left="4320" w:hanging="360"/>
      </w:pPr>
      <w:rPr>
        <w:rFonts w:ascii="Arial" w:hAnsi="Arial" w:hint="default"/>
      </w:rPr>
    </w:lvl>
    <w:lvl w:ilvl="6" w:tplc="6908C950" w:tentative="1">
      <w:start w:val="1"/>
      <w:numFmt w:val="bullet"/>
      <w:lvlText w:val="–"/>
      <w:lvlJc w:val="left"/>
      <w:pPr>
        <w:tabs>
          <w:tab w:val="num" w:pos="5040"/>
        </w:tabs>
        <w:ind w:left="5040" w:hanging="360"/>
      </w:pPr>
      <w:rPr>
        <w:rFonts w:ascii="Arial" w:hAnsi="Arial" w:hint="default"/>
      </w:rPr>
    </w:lvl>
    <w:lvl w:ilvl="7" w:tplc="820C9FD4" w:tentative="1">
      <w:start w:val="1"/>
      <w:numFmt w:val="bullet"/>
      <w:lvlText w:val="–"/>
      <w:lvlJc w:val="left"/>
      <w:pPr>
        <w:tabs>
          <w:tab w:val="num" w:pos="5760"/>
        </w:tabs>
        <w:ind w:left="5760" w:hanging="360"/>
      </w:pPr>
      <w:rPr>
        <w:rFonts w:ascii="Arial" w:hAnsi="Arial" w:hint="default"/>
      </w:rPr>
    </w:lvl>
    <w:lvl w:ilvl="8" w:tplc="158E5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B662D8"/>
    <w:multiLevelType w:val="hybridMultilevel"/>
    <w:tmpl w:val="A4305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9629FD"/>
    <w:multiLevelType w:val="hybridMultilevel"/>
    <w:tmpl w:val="04CAFB62"/>
    <w:lvl w:ilvl="0" w:tplc="A41C6B32">
      <w:start w:val="1"/>
      <w:numFmt w:val="bullet"/>
      <w:lvlText w:val="•"/>
      <w:lvlJc w:val="left"/>
      <w:pPr>
        <w:tabs>
          <w:tab w:val="num" w:pos="720"/>
        </w:tabs>
        <w:ind w:left="720" w:hanging="360"/>
      </w:pPr>
      <w:rPr>
        <w:rFonts w:ascii="Arial" w:hAnsi="Arial" w:hint="default"/>
      </w:rPr>
    </w:lvl>
    <w:lvl w:ilvl="1" w:tplc="F04A0A0A" w:tentative="1">
      <w:start w:val="1"/>
      <w:numFmt w:val="bullet"/>
      <w:lvlText w:val="•"/>
      <w:lvlJc w:val="left"/>
      <w:pPr>
        <w:tabs>
          <w:tab w:val="num" w:pos="1440"/>
        </w:tabs>
        <w:ind w:left="1440" w:hanging="360"/>
      </w:pPr>
      <w:rPr>
        <w:rFonts w:ascii="Arial" w:hAnsi="Arial" w:hint="default"/>
      </w:rPr>
    </w:lvl>
    <w:lvl w:ilvl="2" w:tplc="88B650D6">
      <w:start w:val="1"/>
      <w:numFmt w:val="bullet"/>
      <w:lvlText w:val="•"/>
      <w:lvlJc w:val="left"/>
      <w:pPr>
        <w:tabs>
          <w:tab w:val="num" w:pos="2160"/>
        </w:tabs>
        <w:ind w:left="2160" w:hanging="360"/>
      </w:pPr>
      <w:rPr>
        <w:rFonts w:ascii="Arial" w:hAnsi="Arial" w:hint="default"/>
      </w:rPr>
    </w:lvl>
    <w:lvl w:ilvl="3" w:tplc="B06EED66" w:tentative="1">
      <w:start w:val="1"/>
      <w:numFmt w:val="bullet"/>
      <w:lvlText w:val="•"/>
      <w:lvlJc w:val="left"/>
      <w:pPr>
        <w:tabs>
          <w:tab w:val="num" w:pos="2880"/>
        </w:tabs>
        <w:ind w:left="2880" w:hanging="360"/>
      </w:pPr>
      <w:rPr>
        <w:rFonts w:ascii="Arial" w:hAnsi="Arial" w:hint="default"/>
      </w:rPr>
    </w:lvl>
    <w:lvl w:ilvl="4" w:tplc="26A25EE4" w:tentative="1">
      <w:start w:val="1"/>
      <w:numFmt w:val="bullet"/>
      <w:lvlText w:val="•"/>
      <w:lvlJc w:val="left"/>
      <w:pPr>
        <w:tabs>
          <w:tab w:val="num" w:pos="3600"/>
        </w:tabs>
        <w:ind w:left="3600" w:hanging="360"/>
      </w:pPr>
      <w:rPr>
        <w:rFonts w:ascii="Arial" w:hAnsi="Arial" w:hint="default"/>
      </w:rPr>
    </w:lvl>
    <w:lvl w:ilvl="5" w:tplc="CEE25D98" w:tentative="1">
      <w:start w:val="1"/>
      <w:numFmt w:val="bullet"/>
      <w:lvlText w:val="•"/>
      <w:lvlJc w:val="left"/>
      <w:pPr>
        <w:tabs>
          <w:tab w:val="num" w:pos="4320"/>
        </w:tabs>
        <w:ind w:left="4320" w:hanging="360"/>
      </w:pPr>
      <w:rPr>
        <w:rFonts w:ascii="Arial" w:hAnsi="Arial" w:hint="default"/>
      </w:rPr>
    </w:lvl>
    <w:lvl w:ilvl="6" w:tplc="EAC424A0" w:tentative="1">
      <w:start w:val="1"/>
      <w:numFmt w:val="bullet"/>
      <w:lvlText w:val="•"/>
      <w:lvlJc w:val="left"/>
      <w:pPr>
        <w:tabs>
          <w:tab w:val="num" w:pos="5040"/>
        </w:tabs>
        <w:ind w:left="5040" w:hanging="360"/>
      </w:pPr>
      <w:rPr>
        <w:rFonts w:ascii="Arial" w:hAnsi="Arial" w:hint="default"/>
      </w:rPr>
    </w:lvl>
    <w:lvl w:ilvl="7" w:tplc="5A841646" w:tentative="1">
      <w:start w:val="1"/>
      <w:numFmt w:val="bullet"/>
      <w:lvlText w:val="•"/>
      <w:lvlJc w:val="left"/>
      <w:pPr>
        <w:tabs>
          <w:tab w:val="num" w:pos="5760"/>
        </w:tabs>
        <w:ind w:left="5760" w:hanging="360"/>
      </w:pPr>
      <w:rPr>
        <w:rFonts w:ascii="Arial" w:hAnsi="Arial" w:hint="default"/>
      </w:rPr>
    </w:lvl>
    <w:lvl w:ilvl="8" w:tplc="C872440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BF851E2"/>
    <w:multiLevelType w:val="hybridMultilevel"/>
    <w:tmpl w:val="01E8A2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6EDB0DE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10"/>
  </w:num>
  <w:num w:numId="4">
    <w:abstractNumId w:val="0"/>
  </w:num>
  <w:num w:numId="5">
    <w:abstractNumId w:val="4"/>
  </w:num>
  <w:num w:numId="6">
    <w:abstractNumId w:val="2"/>
  </w:num>
  <w:num w:numId="7">
    <w:abstractNumId w:val="7"/>
  </w:num>
  <w:num w:numId="8">
    <w:abstractNumId w:val="6"/>
  </w:num>
  <w:num w:numId="9">
    <w:abstractNumId w:val="8"/>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0D6"/>
    <w:rsid w:val="00005B8D"/>
    <w:rsid w:val="00050D7B"/>
    <w:rsid w:val="000759A1"/>
    <w:rsid w:val="000776E5"/>
    <w:rsid w:val="00082D50"/>
    <w:rsid w:val="00105578"/>
    <w:rsid w:val="001106EF"/>
    <w:rsid w:val="00115BDE"/>
    <w:rsid w:val="00123A8C"/>
    <w:rsid w:val="0018076B"/>
    <w:rsid w:val="0019675C"/>
    <w:rsid w:val="001A3B73"/>
    <w:rsid w:val="001A3EEE"/>
    <w:rsid w:val="001D4142"/>
    <w:rsid w:val="002058CB"/>
    <w:rsid w:val="00205C82"/>
    <w:rsid w:val="00216926"/>
    <w:rsid w:val="00233796"/>
    <w:rsid w:val="00281899"/>
    <w:rsid w:val="002C51D9"/>
    <w:rsid w:val="002E5195"/>
    <w:rsid w:val="002F00BB"/>
    <w:rsid w:val="003014F5"/>
    <w:rsid w:val="0030381D"/>
    <w:rsid w:val="003243CD"/>
    <w:rsid w:val="00330D12"/>
    <w:rsid w:val="00355170"/>
    <w:rsid w:val="003669ED"/>
    <w:rsid w:val="00371DA0"/>
    <w:rsid w:val="00396765"/>
    <w:rsid w:val="003E6A62"/>
    <w:rsid w:val="00403E25"/>
    <w:rsid w:val="004153D3"/>
    <w:rsid w:val="004222C5"/>
    <w:rsid w:val="00432B37"/>
    <w:rsid w:val="00475BBB"/>
    <w:rsid w:val="004918AC"/>
    <w:rsid w:val="004B2231"/>
    <w:rsid w:val="004B39FE"/>
    <w:rsid w:val="004D0C87"/>
    <w:rsid w:val="004E5225"/>
    <w:rsid w:val="00512119"/>
    <w:rsid w:val="00592E6E"/>
    <w:rsid w:val="005D651A"/>
    <w:rsid w:val="005F2189"/>
    <w:rsid w:val="00616983"/>
    <w:rsid w:val="006602CA"/>
    <w:rsid w:val="00665F19"/>
    <w:rsid w:val="00670B43"/>
    <w:rsid w:val="00671630"/>
    <w:rsid w:val="006750D6"/>
    <w:rsid w:val="00696462"/>
    <w:rsid w:val="00736DB1"/>
    <w:rsid w:val="007507FC"/>
    <w:rsid w:val="00753C29"/>
    <w:rsid w:val="0075422D"/>
    <w:rsid w:val="007D7454"/>
    <w:rsid w:val="00813799"/>
    <w:rsid w:val="0084336F"/>
    <w:rsid w:val="008D2005"/>
    <w:rsid w:val="008E313D"/>
    <w:rsid w:val="00943B69"/>
    <w:rsid w:val="0096639B"/>
    <w:rsid w:val="009821C6"/>
    <w:rsid w:val="009D2779"/>
    <w:rsid w:val="009F2370"/>
    <w:rsid w:val="009F6867"/>
    <w:rsid w:val="00A1088F"/>
    <w:rsid w:val="00A61604"/>
    <w:rsid w:val="00A71475"/>
    <w:rsid w:val="00A71934"/>
    <w:rsid w:val="00A72D6F"/>
    <w:rsid w:val="00AA7CC7"/>
    <w:rsid w:val="00AB30FD"/>
    <w:rsid w:val="00AC0688"/>
    <w:rsid w:val="00AD7CCD"/>
    <w:rsid w:val="00AE0716"/>
    <w:rsid w:val="00AE79C1"/>
    <w:rsid w:val="00AF03DC"/>
    <w:rsid w:val="00AF61A8"/>
    <w:rsid w:val="00B01AD7"/>
    <w:rsid w:val="00BC2B29"/>
    <w:rsid w:val="00BD5FFC"/>
    <w:rsid w:val="00BF1E16"/>
    <w:rsid w:val="00C07825"/>
    <w:rsid w:val="00CA61B1"/>
    <w:rsid w:val="00CC3F86"/>
    <w:rsid w:val="00D141CC"/>
    <w:rsid w:val="00D17969"/>
    <w:rsid w:val="00D34C41"/>
    <w:rsid w:val="00D84269"/>
    <w:rsid w:val="00D93F66"/>
    <w:rsid w:val="00DC3C0F"/>
    <w:rsid w:val="00DE10CA"/>
    <w:rsid w:val="00DE5149"/>
    <w:rsid w:val="00E518EA"/>
    <w:rsid w:val="00E80553"/>
    <w:rsid w:val="00E833B6"/>
    <w:rsid w:val="00E96145"/>
    <w:rsid w:val="00EC65B6"/>
    <w:rsid w:val="00ED2293"/>
    <w:rsid w:val="00EF7F9C"/>
    <w:rsid w:val="00F02F7E"/>
    <w:rsid w:val="00F5668D"/>
    <w:rsid w:val="00F61425"/>
    <w:rsid w:val="00F74CA6"/>
    <w:rsid w:val="00F74D8B"/>
    <w:rsid w:val="00F8264D"/>
    <w:rsid w:val="00FB0B41"/>
    <w:rsid w:val="00FD11A8"/>
    <w:rsid w:val="00FD3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A3BEC"/>
  <w15:chartTrackingRefBased/>
  <w15:docId w15:val="{6636C404-5787-4056-A6CD-01D1C362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50D6"/>
    <w:rPr>
      <w:rFonts w:eastAsiaTheme="minorEastAsia"/>
    </w:rPr>
  </w:style>
  <w:style w:type="paragraph" w:styleId="Heading1">
    <w:name w:val="heading 1"/>
    <w:basedOn w:val="Normal"/>
    <w:next w:val="Normal"/>
    <w:link w:val="Heading1Char"/>
    <w:uiPriority w:val="9"/>
    <w:qFormat/>
    <w:rsid w:val="006750D6"/>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750D6"/>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750D6"/>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750D6"/>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750D6"/>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750D6"/>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750D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50D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50D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0D6"/>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750D6"/>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750D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750D6"/>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750D6"/>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750D6"/>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750D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50D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50D6"/>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6750D6"/>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6750D6"/>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6750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50D6"/>
    <w:rPr>
      <w:rFonts w:eastAsiaTheme="minorEastAsia"/>
    </w:rPr>
  </w:style>
  <w:style w:type="paragraph" w:styleId="ListParagraph">
    <w:name w:val="List Paragraph"/>
    <w:basedOn w:val="Normal"/>
    <w:uiPriority w:val="34"/>
    <w:qFormat/>
    <w:rsid w:val="00432B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66898">
      <w:bodyDiv w:val="1"/>
      <w:marLeft w:val="0"/>
      <w:marRight w:val="0"/>
      <w:marTop w:val="0"/>
      <w:marBottom w:val="0"/>
      <w:divBdr>
        <w:top w:val="none" w:sz="0" w:space="0" w:color="auto"/>
        <w:left w:val="none" w:sz="0" w:space="0" w:color="auto"/>
        <w:bottom w:val="none" w:sz="0" w:space="0" w:color="auto"/>
        <w:right w:val="none" w:sz="0" w:space="0" w:color="auto"/>
      </w:divBdr>
      <w:divsChild>
        <w:div w:id="1785536614">
          <w:marLeft w:val="1166"/>
          <w:marRight w:val="0"/>
          <w:marTop w:val="82"/>
          <w:marBottom w:val="0"/>
          <w:divBdr>
            <w:top w:val="none" w:sz="0" w:space="0" w:color="auto"/>
            <w:left w:val="none" w:sz="0" w:space="0" w:color="auto"/>
            <w:bottom w:val="none" w:sz="0" w:space="0" w:color="auto"/>
            <w:right w:val="none" w:sz="0" w:space="0" w:color="auto"/>
          </w:divBdr>
        </w:div>
        <w:div w:id="1882866401">
          <w:marLeft w:val="1166"/>
          <w:marRight w:val="0"/>
          <w:marTop w:val="96"/>
          <w:marBottom w:val="0"/>
          <w:divBdr>
            <w:top w:val="none" w:sz="0" w:space="0" w:color="auto"/>
            <w:left w:val="none" w:sz="0" w:space="0" w:color="auto"/>
            <w:bottom w:val="none" w:sz="0" w:space="0" w:color="auto"/>
            <w:right w:val="none" w:sz="0" w:space="0" w:color="auto"/>
          </w:divBdr>
        </w:div>
        <w:div w:id="589630089">
          <w:marLeft w:val="1800"/>
          <w:marRight w:val="0"/>
          <w:marTop w:val="82"/>
          <w:marBottom w:val="0"/>
          <w:divBdr>
            <w:top w:val="none" w:sz="0" w:space="0" w:color="auto"/>
            <w:left w:val="none" w:sz="0" w:space="0" w:color="auto"/>
            <w:bottom w:val="none" w:sz="0" w:space="0" w:color="auto"/>
            <w:right w:val="none" w:sz="0" w:space="0" w:color="auto"/>
          </w:divBdr>
        </w:div>
        <w:div w:id="579604492">
          <w:marLeft w:val="2520"/>
          <w:marRight w:val="0"/>
          <w:marTop w:val="82"/>
          <w:marBottom w:val="0"/>
          <w:divBdr>
            <w:top w:val="none" w:sz="0" w:space="0" w:color="auto"/>
            <w:left w:val="none" w:sz="0" w:space="0" w:color="auto"/>
            <w:bottom w:val="none" w:sz="0" w:space="0" w:color="auto"/>
            <w:right w:val="none" w:sz="0" w:space="0" w:color="auto"/>
          </w:divBdr>
        </w:div>
        <w:div w:id="1490249251">
          <w:marLeft w:val="2520"/>
          <w:marRight w:val="0"/>
          <w:marTop w:val="82"/>
          <w:marBottom w:val="0"/>
          <w:divBdr>
            <w:top w:val="none" w:sz="0" w:space="0" w:color="auto"/>
            <w:left w:val="none" w:sz="0" w:space="0" w:color="auto"/>
            <w:bottom w:val="none" w:sz="0" w:space="0" w:color="auto"/>
            <w:right w:val="none" w:sz="0" w:space="0" w:color="auto"/>
          </w:divBdr>
        </w:div>
      </w:divsChild>
    </w:div>
    <w:div w:id="960762372">
      <w:bodyDiv w:val="1"/>
      <w:marLeft w:val="0"/>
      <w:marRight w:val="0"/>
      <w:marTop w:val="0"/>
      <w:marBottom w:val="0"/>
      <w:divBdr>
        <w:top w:val="none" w:sz="0" w:space="0" w:color="auto"/>
        <w:left w:val="none" w:sz="0" w:space="0" w:color="auto"/>
        <w:bottom w:val="none" w:sz="0" w:space="0" w:color="auto"/>
        <w:right w:val="none" w:sz="0" w:space="0" w:color="auto"/>
      </w:divBdr>
      <w:divsChild>
        <w:div w:id="435565624">
          <w:marLeft w:val="1800"/>
          <w:marRight w:val="0"/>
          <w:marTop w:val="50"/>
          <w:marBottom w:val="0"/>
          <w:divBdr>
            <w:top w:val="none" w:sz="0" w:space="0" w:color="auto"/>
            <w:left w:val="none" w:sz="0" w:space="0" w:color="auto"/>
            <w:bottom w:val="none" w:sz="0" w:space="0" w:color="auto"/>
            <w:right w:val="none" w:sz="0" w:space="0" w:color="auto"/>
          </w:divBdr>
        </w:div>
        <w:div w:id="1843549565">
          <w:marLeft w:val="1800"/>
          <w:marRight w:val="0"/>
          <w:marTop w:val="50"/>
          <w:marBottom w:val="0"/>
          <w:divBdr>
            <w:top w:val="none" w:sz="0" w:space="0" w:color="auto"/>
            <w:left w:val="none" w:sz="0" w:space="0" w:color="auto"/>
            <w:bottom w:val="none" w:sz="0" w:space="0" w:color="auto"/>
            <w:right w:val="none" w:sz="0" w:space="0" w:color="auto"/>
          </w:divBdr>
        </w:div>
      </w:divsChild>
    </w:div>
    <w:div w:id="1153057686">
      <w:bodyDiv w:val="1"/>
      <w:marLeft w:val="0"/>
      <w:marRight w:val="0"/>
      <w:marTop w:val="0"/>
      <w:marBottom w:val="0"/>
      <w:divBdr>
        <w:top w:val="none" w:sz="0" w:space="0" w:color="auto"/>
        <w:left w:val="none" w:sz="0" w:space="0" w:color="auto"/>
        <w:bottom w:val="none" w:sz="0" w:space="0" w:color="auto"/>
        <w:right w:val="none" w:sz="0" w:space="0" w:color="auto"/>
      </w:divBdr>
      <w:divsChild>
        <w:div w:id="1157647374">
          <w:marLeft w:val="1166"/>
          <w:marRight w:val="0"/>
          <w:marTop w:val="77"/>
          <w:marBottom w:val="0"/>
          <w:divBdr>
            <w:top w:val="none" w:sz="0" w:space="0" w:color="auto"/>
            <w:left w:val="none" w:sz="0" w:space="0" w:color="auto"/>
            <w:bottom w:val="none" w:sz="0" w:space="0" w:color="auto"/>
            <w:right w:val="none" w:sz="0" w:space="0" w:color="auto"/>
          </w:divBdr>
        </w:div>
      </w:divsChild>
    </w:div>
    <w:div w:id="1188787368">
      <w:bodyDiv w:val="1"/>
      <w:marLeft w:val="0"/>
      <w:marRight w:val="0"/>
      <w:marTop w:val="0"/>
      <w:marBottom w:val="0"/>
      <w:divBdr>
        <w:top w:val="none" w:sz="0" w:space="0" w:color="auto"/>
        <w:left w:val="none" w:sz="0" w:space="0" w:color="auto"/>
        <w:bottom w:val="none" w:sz="0" w:space="0" w:color="auto"/>
        <w:right w:val="none" w:sz="0" w:space="0" w:color="auto"/>
      </w:divBdr>
      <w:divsChild>
        <w:div w:id="1944334433">
          <w:marLeft w:val="547"/>
          <w:marRight w:val="0"/>
          <w:marTop w:val="82"/>
          <w:marBottom w:val="0"/>
          <w:divBdr>
            <w:top w:val="none" w:sz="0" w:space="0" w:color="auto"/>
            <w:left w:val="none" w:sz="0" w:space="0" w:color="auto"/>
            <w:bottom w:val="none" w:sz="0" w:space="0" w:color="auto"/>
            <w:right w:val="none" w:sz="0" w:space="0" w:color="auto"/>
          </w:divBdr>
        </w:div>
        <w:div w:id="1835874002">
          <w:marLeft w:val="1166"/>
          <w:marRight w:val="0"/>
          <w:marTop w:val="82"/>
          <w:marBottom w:val="0"/>
          <w:divBdr>
            <w:top w:val="none" w:sz="0" w:space="0" w:color="auto"/>
            <w:left w:val="none" w:sz="0" w:space="0" w:color="auto"/>
            <w:bottom w:val="none" w:sz="0" w:space="0" w:color="auto"/>
            <w:right w:val="none" w:sz="0" w:space="0" w:color="auto"/>
          </w:divBdr>
        </w:div>
        <w:div w:id="571737503">
          <w:marLeft w:val="1800"/>
          <w:marRight w:val="0"/>
          <w:marTop w:val="82"/>
          <w:marBottom w:val="0"/>
          <w:divBdr>
            <w:top w:val="none" w:sz="0" w:space="0" w:color="auto"/>
            <w:left w:val="none" w:sz="0" w:space="0" w:color="auto"/>
            <w:bottom w:val="none" w:sz="0" w:space="0" w:color="auto"/>
            <w:right w:val="none" w:sz="0" w:space="0" w:color="auto"/>
          </w:divBdr>
        </w:div>
        <w:div w:id="1563297738">
          <w:marLeft w:val="1800"/>
          <w:marRight w:val="0"/>
          <w:marTop w:val="82"/>
          <w:marBottom w:val="0"/>
          <w:divBdr>
            <w:top w:val="none" w:sz="0" w:space="0" w:color="auto"/>
            <w:left w:val="none" w:sz="0" w:space="0" w:color="auto"/>
            <w:bottom w:val="none" w:sz="0" w:space="0" w:color="auto"/>
            <w:right w:val="none" w:sz="0" w:space="0" w:color="auto"/>
          </w:divBdr>
        </w:div>
        <w:div w:id="1144586560">
          <w:marLeft w:val="1800"/>
          <w:marRight w:val="0"/>
          <w:marTop w:val="82"/>
          <w:marBottom w:val="0"/>
          <w:divBdr>
            <w:top w:val="none" w:sz="0" w:space="0" w:color="auto"/>
            <w:left w:val="none" w:sz="0" w:space="0" w:color="auto"/>
            <w:bottom w:val="none" w:sz="0" w:space="0" w:color="auto"/>
            <w:right w:val="none" w:sz="0" w:space="0" w:color="auto"/>
          </w:divBdr>
        </w:div>
        <w:div w:id="990982572">
          <w:marLeft w:val="1800"/>
          <w:marRight w:val="0"/>
          <w:marTop w:val="82"/>
          <w:marBottom w:val="0"/>
          <w:divBdr>
            <w:top w:val="none" w:sz="0" w:space="0" w:color="auto"/>
            <w:left w:val="none" w:sz="0" w:space="0" w:color="auto"/>
            <w:bottom w:val="none" w:sz="0" w:space="0" w:color="auto"/>
            <w:right w:val="none" w:sz="0" w:space="0" w:color="auto"/>
          </w:divBdr>
        </w:div>
        <w:div w:id="1377192619">
          <w:marLeft w:val="1800"/>
          <w:marRight w:val="0"/>
          <w:marTop w:val="82"/>
          <w:marBottom w:val="0"/>
          <w:divBdr>
            <w:top w:val="none" w:sz="0" w:space="0" w:color="auto"/>
            <w:left w:val="none" w:sz="0" w:space="0" w:color="auto"/>
            <w:bottom w:val="none" w:sz="0" w:space="0" w:color="auto"/>
            <w:right w:val="none" w:sz="0" w:space="0" w:color="auto"/>
          </w:divBdr>
        </w:div>
        <w:div w:id="994913698">
          <w:marLeft w:val="1800"/>
          <w:marRight w:val="0"/>
          <w:marTop w:val="82"/>
          <w:marBottom w:val="0"/>
          <w:divBdr>
            <w:top w:val="none" w:sz="0" w:space="0" w:color="auto"/>
            <w:left w:val="none" w:sz="0" w:space="0" w:color="auto"/>
            <w:bottom w:val="none" w:sz="0" w:space="0" w:color="auto"/>
            <w:right w:val="none" w:sz="0" w:space="0" w:color="auto"/>
          </w:divBdr>
        </w:div>
        <w:div w:id="509638336">
          <w:marLeft w:val="1800"/>
          <w:marRight w:val="0"/>
          <w:marTop w:val="82"/>
          <w:marBottom w:val="0"/>
          <w:divBdr>
            <w:top w:val="none" w:sz="0" w:space="0" w:color="auto"/>
            <w:left w:val="none" w:sz="0" w:space="0" w:color="auto"/>
            <w:bottom w:val="none" w:sz="0" w:space="0" w:color="auto"/>
            <w:right w:val="none" w:sz="0" w:space="0" w:color="auto"/>
          </w:divBdr>
        </w:div>
      </w:divsChild>
    </w:div>
    <w:div w:id="1366713296">
      <w:bodyDiv w:val="1"/>
      <w:marLeft w:val="0"/>
      <w:marRight w:val="0"/>
      <w:marTop w:val="0"/>
      <w:marBottom w:val="0"/>
      <w:divBdr>
        <w:top w:val="none" w:sz="0" w:space="0" w:color="auto"/>
        <w:left w:val="none" w:sz="0" w:space="0" w:color="auto"/>
        <w:bottom w:val="none" w:sz="0" w:space="0" w:color="auto"/>
        <w:right w:val="none" w:sz="0" w:space="0" w:color="auto"/>
      </w:divBdr>
    </w:div>
    <w:div w:id="1427338184">
      <w:bodyDiv w:val="1"/>
      <w:marLeft w:val="0"/>
      <w:marRight w:val="0"/>
      <w:marTop w:val="0"/>
      <w:marBottom w:val="0"/>
      <w:divBdr>
        <w:top w:val="none" w:sz="0" w:space="0" w:color="auto"/>
        <w:left w:val="none" w:sz="0" w:space="0" w:color="auto"/>
        <w:bottom w:val="none" w:sz="0" w:space="0" w:color="auto"/>
        <w:right w:val="none" w:sz="0" w:space="0" w:color="auto"/>
      </w:divBdr>
      <w:divsChild>
        <w:div w:id="841747101">
          <w:marLeft w:val="547"/>
          <w:marRight w:val="0"/>
          <w:marTop w:val="82"/>
          <w:marBottom w:val="0"/>
          <w:divBdr>
            <w:top w:val="none" w:sz="0" w:space="0" w:color="auto"/>
            <w:left w:val="none" w:sz="0" w:space="0" w:color="auto"/>
            <w:bottom w:val="none" w:sz="0" w:space="0" w:color="auto"/>
            <w:right w:val="none" w:sz="0" w:space="0" w:color="auto"/>
          </w:divBdr>
        </w:div>
        <w:div w:id="1686132204">
          <w:marLeft w:val="1166"/>
          <w:marRight w:val="0"/>
          <w:marTop w:val="82"/>
          <w:marBottom w:val="0"/>
          <w:divBdr>
            <w:top w:val="none" w:sz="0" w:space="0" w:color="auto"/>
            <w:left w:val="none" w:sz="0" w:space="0" w:color="auto"/>
            <w:bottom w:val="none" w:sz="0" w:space="0" w:color="auto"/>
            <w:right w:val="none" w:sz="0" w:space="0" w:color="auto"/>
          </w:divBdr>
        </w:div>
        <w:div w:id="1137644640">
          <w:marLeft w:val="1800"/>
          <w:marRight w:val="0"/>
          <w:marTop w:val="82"/>
          <w:marBottom w:val="0"/>
          <w:divBdr>
            <w:top w:val="none" w:sz="0" w:space="0" w:color="auto"/>
            <w:left w:val="none" w:sz="0" w:space="0" w:color="auto"/>
            <w:bottom w:val="none" w:sz="0" w:space="0" w:color="auto"/>
            <w:right w:val="none" w:sz="0" w:space="0" w:color="auto"/>
          </w:divBdr>
        </w:div>
        <w:div w:id="2075929330">
          <w:marLeft w:val="1800"/>
          <w:marRight w:val="0"/>
          <w:marTop w:val="82"/>
          <w:marBottom w:val="0"/>
          <w:divBdr>
            <w:top w:val="none" w:sz="0" w:space="0" w:color="auto"/>
            <w:left w:val="none" w:sz="0" w:space="0" w:color="auto"/>
            <w:bottom w:val="none" w:sz="0" w:space="0" w:color="auto"/>
            <w:right w:val="none" w:sz="0" w:space="0" w:color="auto"/>
          </w:divBdr>
        </w:div>
        <w:div w:id="1063214657">
          <w:marLeft w:val="1800"/>
          <w:marRight w:val="0"/>
          <w:marTop w:val="82"/>
          <w:marBottom w:val="0"/>
          <w:divBdr>
            <w:top w:val="none" w:sz="0" w:space="0" w:color="auto"/>
            <w:left w:val="none" w:sz="0" w:space="0" w:color="auto"/>
            <w:bottom w:val="none" w:sz="0" w:space="0" w:color="auto"/>
            <w:right w:val="none" w:sz="0" w:space="0" w:color="auto"/>
          </w:divBdr>
        </w:div>
        <w:div w:id="1521047473">
          <w:marLeft w:val="1800"/>
          <w:marRight w:val="0"/>
          <w:marTop w:val="82"/>
          <w:marBottom w:val="0"/>
          <w:divBdr>
            <w:top w:val="none" w:sz="0" w:space="0" w:color="auto"/>
            <w:left w:val="none" w:sz="0" w:space="0" w:color="auto"/>
            <w:bottom w:val="none" w:sz="0" w:space="0" w:color="auto"/>
            <w:right w:val="none" w:sz="0" w:space="0" w:color="auto"/>
          </w:divBdr>
        </w:div>
        <w:div w:id="2144155561">
          <w:marLeft w:val="1800"/>
          <w:marRight w:val="0"/>
          <w:marTop w:val="82"/>
          <w:marBottom w:val="0"/>
          <w:divBdr>
            <w:top w:val="none" w:sz="0" w:space="0" w:color="auto"/>
            <w:left w:val="none" w:sz="0" w:space="0" w:color="auto"/>
            <w:bottom w:val="none" w:sz="0" w:space="0" w:color="auto"/>
            <w:right w:val="none" w:sz="0" w:space="0" w:color="auto"/>
          </w:divBdr>
        </w:div>
        <w:div w:id="1977758695">
          <w:marLeft w:val="1800"/>
          <w:marRight w:val="0"/>
          <w:marTop w:val="82"/>
          <w:marBottom w:val="0"/>
          <w:divBdr>
            <w:top w:val="none" w:sz="0" w:space="0" w:color="auto"/>
            <w:left w:val="none" w:sz="0" w:space="0" w:color="auto"/>
            <w:bottom w:val="none" w:sz="0" w:space="0" w:color="auto"/>
            <w:right w:val="none" w:sz="0" w:space="0" w:color="auto"/>
          </w:divBdr>
        </w:div>
        <w:div w:id="92769235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5453BA-CEE7-4454-83A8-84CB47946B99}">
  <ds:schemaRefs>
    <ds:schemaRef ds:uri="http://schemas.microsoft.com/sharepoint/v3/contenttype/forms"/>
  </ds:schemaRefs>
</ds:datastoreItem>
</file>

<file path=customXml/itemProps2.xml><?xml version="1.0" encoding="utf-8"?>
<ds:datastoreItem xmlns:ds="http://schemas.openxmlformats.org/officeDocument/2006/customXml" ds:itemID="{60D2F7EE-5DA2-4226-973D-CDBA96FDD7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E7758D-5C6E-4AC9-AA31-E02EF0E8B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3</Pages>
  <Words>887</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20</cp:revision>
  <dcterms:created xsi:type="dcterms:W3CDTF">2019-11-07T07:25:00Z</dcterms:created>
  <dcterms:modified xsi:type="dcterms:W3CDTF">2020-02-14T19:33:00Z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